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2CF86" w14:textId="0E9D1B0A" w:rsidR="00C671F0" w:rsidRDefault="00F222D4" w:rsidP="0012449C">
      <w:pPr>
        <w:jc w:val="center"/>
        <w:rPr>
          <w:b/>
        </w:rPr>
      </w:pPr>
      <w:r>
        <w:rPr>
          <w:b/>
        </w:rPr>
        <w:t>Projet collaboratif Société Nationale Française de Médecine Interne et</w:t>
      </w:r>
      <w:r w:rsidRPr="0012449C">
        <w:rPr>
          <w:b/>
        </w:rPr>
        <w:t xml:space="preserve"> </w:t>
      </w:r>
      <w:r>
        <w:rPr>
          <w:b/>
        </w:rPr>
        <w:t>Registre REISAMIC</w:t>
      </w:r>
    </w:p>
    <w:p w14:paraId="23ED7095" w14:textId="77777777" w:rsidR="00F222D4" w:rsidRDefault="00F222D4" w:rsidP="0012449C">
      <w:pPr>
        <w:jc w:val="center"/>
        <w:rPr>
          <w:b/>
        </w:rPr>
      </w:pPr>
    </w:p>
    <w:p w14:paraId="3FC75026" w14:textId="4763ACEF" w:rsidR="00F222D4" w:rsidRPr="0012449C" w:rsidRDefault="00F222D4" w:rsidP="00FA1439">
      <w:pPr>
        <w:pBdr>
          <w:top w:val="single" w:sz="4" w:space="1" w:color="auto"/>
          <w:left w:val="single" w:sz="4" w:space="4" w:color="auto"/>
          <w:bottom w:val="single" w:sz="4" w:space="1" w:color="auto"/>
          <w:right w:val="single" w:sz="4" w:space="4" w:color="auto"/>
        </w:pBdr>
        <w:jc w:val="center"/>
        <w:rPr>
          <w:b/>
        </w:rPr>
      </w:pPr>
      <w:r>
        <w:rPr>
          <w:b/>
        </w:rPr>
        <w:t>Appel à observations de maladies auto-immunes / maladies inflammatoires systémiques apparues sous traitement par anti-CTLA4 / anti-PD1 / anti-PD-L1</w:t>
      </w:r>
    </w:p>
    <w:p w14:paraId="7C72CD8A" w14:textId="77777777" w:rsidR="00293B12" w:rsidRDefault="00293B12"/>
    <w:p w14:paraId="16186E9A" w14:textId="77777777" w:rsidR="00F222D4" w:rsidRDefault="00F222D4"/>
    <w:p w14:paraId="4257D074" w14:textId="0D0212E7" w:rsidR="00F222D4" w:rsidRDefault="00F222D4">
      <w:r>
        <w:t xml:space="preserve">Chers collègues, </w:t>
      </w:r>
    </w:p>
    <w:p w14:paraId="3DE4C90F" w14:textId="77777777" w:rsidR="00F222D4" w:rsidRDefault="00F222D4"/>
    <w:p w14:paraId="07F136EA" w14:textId="64C0E27F" w:rsidR="00F222D4" w:rsidRDefault="00F222D4" w:rsidP="00873CD8">
      <w:pPr>
        <w:jc w:val="both"/>
      </w:pPr>
      <w:r>
        <w:t>Le service de Médecine Interne Immunologie Clinique du CHU de Bicêtre est un des acteurs principaux du registre</w:t>
      </w:r>
      <w:r w:rsidR="0085198B">
        <w:t xml:space="preserve"> REISAMIC (R</w:t>
      </w:r>
      <w:r>
        <w:t xml:space="preserve">egistre </w:t>
      </w:r>
      <w:r w:rsidR="0085198B">
        <w:t>des Effets I</w:t>
      </w:r>
      <w:r>
        <w:t xml:space="preserve">ndésirables </w:t>
      </w:r>
      <w:r w:rsidR="0085198B">
        <w:t xml:space="preserve">Sévères des Anticorps Monoclonaux </w:t>
      </w:r>
      <w:proofErr w:type="spellStart"/>
      <w:r w:rsidR="0085198B">
        <w:t>Immunomodulateurs</w:t>
      </w:r>
      <w:proofErr w:type="spellEnd"/>
      <w:r w:rsidR="0085198B">
        <w:t xml:space="preserve"> en C</w:t>
      </w:r>
      <w:r>
        <w:t xml:space="preserve">ancérologie) mis en place au centre anti-cancéreux Gustave Roussy. Dans le cadre de ce registre, plus de 120 patients traités en ATU ou AMM par ipilimumab (anti-CTLA-4), </w:t>
      </w:r>
      <w:proofErr w:type="spellStart"/>
      <w:r>
        <w:t>nivolumab</w:t>
      </w:r>
      <w:proofErr w:type="spellEnd"/>
      <w:r>
        <w:t xml:space="preserve"> ou pembrolizumab (anti-PD1) ont été enregistrés. </w:t>
      </w:r>
    </w:p>
    <w:p w14:paraId="4966FB7C" w14:textId="74F9D9E8" w:rsidR="00F222D4" w:rsidRDefault="00F222D4" w:rsidP="00873CD8">
      <w:pPr>
        <w:jc w:val="both"/>
      </w:pPr>
      <w:r>
        <w:t xml:space="preserve">A l’heure actuelle, plus d’une </w:t>
      </w:r>
      <w:r w:rsidR="00D35EAD">
        <w:t>quinz</w:t>
      </w:r>
      <w:r>
        <w:t>aine d</w:t>
      </w:r>
      <w:r w:rsidR="0085198B">
        <w:t xml:space="preserve">e ces patients a développé des </w:t>
      </w:r>
      <w:r>
        <w:t xml:space="preserve">effets secondaires d’origine immunologique sévères </w:t>
      </w:r>
      <w:r w:rsidR="0085198B">
        <w:t xml:space="preserve">sans compter ceux qui </w:t>
      </w:r>
      <w:r>
        <w:t>ont été signalés</w:t>
      </w:r>
      <w:r w:rsidR="0085198B">
        <w:t xml:space="preserve"> dans des essais thérapeutiques</w:t>
      </w:r>
      <w:r>
        <w:t>.</w:t>
      </w:r>
    </w:p>
    <w:p w14:paraId="2391D612" w14:textId="46B59E96" w:rsidR="0085198B" w:rsidRDefault="00F222D4" w:rsidP="00873CD8">
      <w:pPr>
        <w:jc w:val="both"/>
      </w:pPr>
      <w:r>
        <w:t xml:space="preserve">Nous souhaitons rapporter ces observations et nous vous proposons dans le cadre de la SNFMI de participer à ce </w:t>
      </w:r>
      <w:r w:rsidR="0085198B">
        <w:t>travail</w:t>
      </w:r>
      <w:r>
        <w:t xml:space="preserve"> en nous signalant </w:t>
      </w:r>
      <w:r w:rsidR="0085198B">
        <w:t xml:space="preserve">les patients que vous auriez été amenés à prendre en charge </w:t>
      </w:r>
      <w:r w:rsidR="00D35EAD">
        <w:t xml:space="preserve">dans vos CHU/hôpitaux respectifs </w:t>
      </w:r>
      <w:r w:rsidR="0085198B">
        <w:t>(</w:t>
      </w:r>
      <w:proofErr w:type="spellStart"/>
      <w:r w:rsidR="0085198B">
        <w:t>cf</w:t>
      </w:r>
      <w:proofErr w:type="spellEnd"/>
      <w:r w:rsidR="0085198B">
        <w:t xml:space="preserve"> critères infra). </w:t>
      </w:r>
    </w:p>
    <w:p w14:paraId="42BBE781" w14:textId="77777777" w:rsidR="00873CD8" w:rsidRDefault="00873CD8" w:rsidP="00873CD8">
      <w:pPr>
        <w:jc w:val="both"/>
      </w:pPr>
    </w:p>
    <w:p w14:paraId="28EFF4E3" w14:textId="1971A65C" w:rsidR="0085198B" w:rsidRPr="00873CD8" w:rsidRDefault="0085198B" w:rsidP="00873CD8">
      <w:pPr>
        <w:jc w:val="both"/>
        <w:rPr>
          <w:b/>
        </w:rPr>
      </w:pPr>
      <w:r w:rsidRPr="00873CD8">
        <w:rPr>
          <w:b/>
        </w:rPr>
        <w:t xml:space="preserve">Pour cela, nous vous remercions de nous signaler par retour de fax ou mail si vous avez suivi sur les 12 derniers mois un ou plusieurs patients qui auraient développé sous anti-CTLA4 ou anti-PD1, une des pathologies </w:t>
      </w:r>
      <w:r w:rsidR="00873CD8" w:rsidRPr="00873CD8">
        <w:rPr>
          <w:b/>
        </w:rPr>
        <w:t xml:space="preserve">décrites sur la page </w:t>
      </w:r>
      <w:r w:rsidRPr="00873CD8">
        <w:rPr>
          <w:b/>
        </w:rPr>
        <w:t>suivante</w:t>
      </w:r>
      <w:r w:rsidR="00FA1439">
        <w:rPr>
          <w:b/>
        </w:rPr>
        <w:t>.</w:t>
      </w:r>
    </w:p>
    <w:p w14:paraId="4091AB45" w14:textId="77777777" w:rsidR="00D35EAD" w:rsidRPr="00873CD8" w:rsidRDefault="00D35EAD">
      <w:pPr>
        <w:rPr>
          <w:b/>
        </w:rPr>
      </w:pPr>
    </w:p>
    <w:p w14:paraId="732DFDBC" w14:textId="5864432B" w:rsidR="0085198B" w:rsidRDefault="006929CF">
      <w:r>
        <w:t>U</w:t>
      </w:r>
      <w:r w:rsidR="0085198B">
        <w:t xml:space="preserve">n de nos internes </w:t>
      </w:r>
      <w:r w:rsidR="00D35EAD">
        <w:t xml:space="preserve">dont ce travail constituera son sujet de thèse, </w:t>
      </w:r>
      <w:r w:rsidR="0085198B">
        <w:t xml:space="preserve">se chargera de remplir un cahier de recueil des données cliniques, biologiques et thérapeutiques. </w:t>
      </w:r>
      <w:r>
        <w:t xml:space="preserve">Le cahier est </w:t>
      </w:r>
      <w:r w:rsidR="00FA1439">
        <w:t xml:space="preserve">par ailleurs </w:t>
      </w:r>
      <w:r>
        <w:t>disponible sur le site avec ce synopsis</w:t>
      </w:r>
      <w:bookmarkStart w:id="0" w:name="_GoBack"/>
      <w:bookmarkEnd w:id="0"/>
      <w:r>
        <w:t xml:space="preserve">. </w:t>
      </w:r>
    </w:p>
    <w:p w14:paraId="4293523E" w14:textId="186BDF4A" w:rsidR="00583636" w:rsidRDefault="0085198B">
      <w:r>
        <w:t>Ce projet s’inscrit dans le cadre de la collaboration de la SNFMI avec le REISAMIC</w:t>
      </w:r>
      <w:r w:rsidR="006929CF">
        <w:t>, présentée et validée au sein de la SNFMI</w:t>
      </w:r>
      <w:r>
        <w:t>.</w:t>
      </w:r>
      <w:r w:rsidR="00583636">
        <w:t xml:space="preserve"> </w:t>
      </w:r>
    </w:p>
    <w:p w14:paraId="79F3FE52" w14:textId="7F8A31A8" w:rsidR="00873CD8" w:rsidRDefault="00583636">
      <w:r>
        <w:t xml:space="preserve">Les atteintes spécifiques d’organe </w:t>
      </w:r>
      <w:r w:rsidR="00FA1439">
        <w:t xml:space="preserve">de type colite grave ou </w:t>
      </w:r>
      <w:proofErr w:type="spellStart"/>
      <w:r w:rsidR="00FA1439">
        <w:t>endocrinopathies</w:t>
      </w:r>
      <w:proofErr w:type="spellEnd"/>
      <w:r w:rsidR="00FA1439">
        <w:t xml:space="preserve">, </w:t>
      </w:r>
      <w:r>
        <w:t>ne sont pas colligées dans ce travail spécifique.</w:t>
      </w:r>
    </w:p>
    <w:p w14:paraId="5CDD66D7" w14:textId="77777777" w:rsidR="00873CD8" w:rsidRDefault="00873CD8"/>
    <w:p w14:paraId="7CEF4542" w14:textId="4179AA7E" w:rsidR="00873CD8" w:rsidRDefault="00873CD8">
      <w:r>
        <w:t>Merci de bien vouloir nous renvoyer la page suivante à :</w:t>
      </w:r>
    </w:p>
    <w:p w14:paraId="738E8002" w14:textId="77777777" w:rsidR="00873CD8" w:rsidRDefault="00873CD8"/>
    <w:p w14:paraId="3CD1BD92" w14:textId="380F1DE6" w:rsidR="00873CD8" w:rsidRDefault="00873CD8" w:rsidP="00FA1439">
      <w:pPr>
        <w:pBdr>
          <w:top w:val="single" w:sz="4" w:space="1" w:color="auto"/>
          <w:left w:val="single" w:sz="4" w:space="4" w:color="auto"/>
          <w:bottom w:val="single" w:sz="4" w:space="1" w:color="auto"/>
          <w:right w:val="single" w:sz="4" w:space="4" w:color="auto"/>
        </w:pBdr>
      </w:pPr>
      <w:r>
        <w:t>Pr Olivier Lambotte</w:t>
      </w:r>
    </w:p>
    <w:p w14:paraId="556252CB" w14:textId="77777777" w:rsidR="00873CD8" w:rsidRDefault="00873CD8" w:rsidP="00FA1439">
      <w:pPr>
        <w:pBdr>
          <w:top w:val="single" w:sz="4" w:space="1" w:color="auto"/>
          <w:left w:val="single" w:sz="4" w:space="4" w:color="auto"/>
          <w:bottom w:val="single" w:sz="4" w:space="1" w:color="auto"/>
          <w:right w:val="single" w:sz="4" w:space="4" w:color="auto"/>
        </w:pBdr>
      </w:pPr>
    </w:p>
    <w:p w14:paraId="36FAC677" w14:textId="575ECB65" w:rsidR="00873CD8" w:rsidRDefault="00873CD8" w:rsidP="00FA1439">
      <w:pPr>
        <w:pBdr>
          <w:top w:val="single" w:sz="4" w:space="1" w:color="auto"/>
          <w:left w:val="single" w:sz="4" w:space="4" w:color="auto"/>
          <w:bottom w:val="single" w:sz="4" w:space="1" w:color="auto"/>
          <w:right w:val="single" w:sz="4" w:space="4" w:color="auto"/>
        </w:pBdr>
      </w:pPr>
      <w:r>
        <w:t>Service de Médecine Interne Immunologie Clinique</w:t>
      </w:r>
    </w:p>
    <w:p w14:paraId="04FF7602" w14:textId="77777777" w:rsidR="00873CD8" w:rsidRDefault="00873CD8" w:rsidP="00FA1439">
      <w:pPr>
        <w:pBdr>
          <w:top w:val="single" w:sz="4" w:space="1" w:color="auto"/>
          <w:left w:val="single" w:sz="4" w:space="4" w:color="auto"/>
          <w:bottom w:val="single" w:sz="4" w:space="1" w:color="auto"/>
          <w:right w:val="single" w:sz="4" w:space="4" w:color="auto"/>
        </w:pBdr>
      </w:pPr>
    </w:p>
    <w:p w14:paraId="6AADC305" w14:textId="739FE6C0" w:rsidR="00873CD8" w:rsidRDefault="00873CD8" w:rsidP="00FA1439">
      <w:pPr>
        <w:pBdr>
          <w:top w:val="single" w:sz="4" w:space="1" w:color="auto"/>
          <w:left w:val="single" w:sz="4" w:space="4" w:color="auto"/>
          <w:bottom w:val="single" w:sz="4" w:space="1" w:color="auto"/>
          <w:right w:val="single" w:sz="4" w:space="4" w:color="auto"/>
        </w:pBdr>
      </w:pPr>
      <w:r>
        <w:t>CHU Bicêtre</w:t>
      </w:r>
      <w:r w:rsidR="00FA1439">
        <w:t>, tel 01 45 21 22 05</w:t>
      </w:r>
    </w:p>
    <w:p w14:paraId="01A98FBA" w14:textId="77777777" w:rsidR="00873CD8" w:rsidRDefault="00873CD8" w:rsidP="00FA1439">
      <w:pPr>
        <w:pBdr>
          <w:top w:val="single" w:sz="4" w:space="1" w:color="auto"/>
          <w:left w:val="single" w:sz="4" w:space="4" w:color="auto"/>
          <w:bottom w:val="single" w:sz="4" w:space="1" w:color="auto"/>
          <w:right w:val="single" w:sz="4" w:space="4" w:color="auto"/>
        </w:pBdr>
      </w:pPr>
    </w:p>
    <w:p w14:paraId="2A7241A2" w14:textId="7D61D3A6" w:rsidR="00873CD8" w:rsidRPr="00873CD8" w:rsidRDefault="00873CD8" w:rsidP="00FA1439">
      <w:pPr>
        <w:pBdr>
          <w:top w:val="single" w:sz="4" w:space="1" w:color="auto"/>
          <w:left w:val="single" w:sz="4" w:space="4" w:color="auto"/>
          <w:bottom w:val="single" w:sz="4" w:space="1" w:color="auto"/>
          <w:right w:val="single" w:sz="4" w:space="4" w:color="auto"/>
        </w:pBdr>
        <w:rPr>
          <w:u w:val="single"/>
        </w:rPr>
      </w:pPr>
      <w:r w:rsidRPr="00873CD8">
        <w:rPr>
          <w:u w:val="single"/>
        </w:rPr>
        <w:t xml:space="preserve">Fax : 01 45 21 27 </w:t>
      </w:r>
      <w:proofErr w:type="gramStart"/>
      <w:r w:rsidRPr="00873CD8">
        <w:rPr>
          <w:u w:val="single"/>
        </w:rPr>
        <w:t>33</w:t>
      </w:r>
      <w:r w:rsidR="006929CF">
        <w:rPr>
          <w:u w:val="single"/>
        </w:rPr>
        <w:t xml:space="preserve">     olivier.lambotte@aphp.fr</w:t>
      </w:r>
      <w:proofErr w:type="gramEnd"/>
    </w:p>
    <w:p w14:paraId="2732A47F" w14:textId="77777777" w:rsidR="00873CD8" w:rsidRDefault="00873CD8">
      <w:r>
        <w:br w:type="page"/>
      </w:r>
    </w:p>
    <w:p w14:paraId="32BEC636" w14:textId="77777777" w:rsidR="00862529" w:rsidRPr="0012449C" w:rsidRDefault="00862529" w:rsidP="00862529">
      <w:r w:rsidRPr="00862529">
        <w:rPr>
          <w:b/>
        </w:rPr>
        <w:lastRenderedPageBreak/>
        <w:t>Centre de prise en charge</w:t>
      </w:r>
      <w:r>
        <w:t xml:space="preserve"> : </w:t>
      </w:r>
    </w:p>
    <w:p w14:paraId="5BC6CC46" w14:textId="77777777" w:rsidR="00862529" w:rsidRDefault="00862529" w:rsidP="00862529"/>
    <w:p w14:paraId="74977E48" w14:textId="139C1A46" w:rsidR="00862529" w:rsidRDefault="00862529" w:rsidP="00862529">
      <w:r w:rsidRPr="0012449C">
        <w:t>Nom du médecin </w:t>
      </w:r>
      <w:r>
        <w:t xml:space="preserve">référent </w:t>
      </w:r>
      <w:r w:rsidR="006929CF">
        <w:t xml:space="preserve">/ déclarant </w:t>
      </w:r>
      <w:r w:rsidRPr="0012449C">
        <w:t xml:space="preserve"> </w:t>
      </w:r>
    </w:p>
    <w:p w14:paraId="72D47CB9" w14:textId="77777777" w:rsidR="00862529" w:rsidRDefault="00862529" w:rsidP="00862529"/>
    <w:p w14:paraId="5CC1CD0D" w14:textId="77777777" w:rsidR="00862529" w:rsidRDefault="00862529" w:rsidP="00862529">
      <w:r>
        <w:t>Email :</w:t>
      </w:r>
    </w:p>
    <w:p w14:paraId="11E451B4" w14:textId="77777777" w:rsidR="00862529" w:rsidRDefault="00862529" w:rsidP="00862529"/>
    <w:p w14:paraId="7F1F2208" w14:textId="77777777" w:rsidR="00862529" w:rsidRDefault="00862529" w:rsidP="00862529">
      <w:r>
        <w:t xml:space="preserve">Téléphone : </w:t>
      </w:r>
      <w:r>
        <w:tab/>
      </w:r>
      <w:r>
        <w:tab/>
      </w:r>
      <w:r>
        <w:tab/>
      </w:r>
      <w:r>
        <w:tab/>
      </w:r>
      <w:r>
        <w:tab/>
      </w:r>
      <w:r>
        <w:tab/>
        <w:t xml:space="preserve">Fax :  </w:t>
      </w:r>
    </w:p>
    <w:p w14:paraId="381EC572" w14:textId="77777777" w:rsidR="00583636" w:rsidRDefault="00583636" w:rsidP="00873CD8">
      <w:pPr>
        <w:spacing w:line="480" w:lineRule="auto"/>
      </w:pPr>
    </w:p>
    <w:p w14:paraId="68697D39" w14:textId="77777777" w:rsidR="00862529" w:rsidRDefault="00862529" w:rsidP="00873CD8">
      <w:pPr>
        <w:spacing w:line="480" w:lineRule="auto"/>
      </w:pPr>
    </w:p>
    <w:p w14:paraId="27E27EBA" w14:textId="77777777" w:rsidR="00873CD8" w:rsidRDefault="00873CD8" w:rsidP="00873CD8">
      <w:pPr>
        <w:spacing w:line="480" w:lineRule="auto"/>
      </w:pPr>
      <w:r>
        <w:t>Polyarthrite rhumatoïde</w:t>
      </w:r>
      <w:r>
        <w:tab/>
      </w:r>
      <w:r>
        <w:tab/>
      </w:r>
      <w:r>
        <w:tab/>
      </w:r>
      <w:r>
        <w:tab/>
      </w:r>
      <w:r>
        <w:tab/>
        <w:t>oui / non</w:t>
      </w:r>
    </w:p>
    <w:p w14:paraId="372471FF" w14:textId="77777777" w:rsidR="00873CD8" w:rsidRDefault="00873CD8" w:rsidP="00873CD8">
      <w:pPr>
        <w:spacing w:line="480" w:lineRule="auto"/>
      </w:pPr>
      <w:r>
        <w:t>Lupus (quelle que soit la forme)</w:t>
      </w:r>
      <w:r>
        <w:tab/>
      </w:r>
      <w:r>
        <w:tab/>
      </w:r>
      <w:r>
        <w:tab/>
      </w:r>
      <w:r>
        <w:tab/>
        <w:t>oui / non</w:t>
      </w:r>
    </w:p>
    <w:p w14:paraId="0C3627F8" w14:textId="77777777" w:rsidR="00873CD8" w:rsidRDefault="00873CD8" w:rsidP="00873CD8">
      <w:pPr>
        <w:spacing w:line="480" w:lineRule="auto"/>
      </w:pPr>
      <w:r>
        <w:t xml:space="preserve">Syndrome de </w:t>
      </w:r>
      <w:proofErr w:type="spellStart"/>
      <w:r>
        <w:t>Gougerot</w:t>
      </w:r>
      <w:proofErr w:type="spellEnd"/>
      <w:r>
        <w:t xml:space="preserve"> </w:t>
      </w:r>
      <w:proofErr w:type="spellStart"/>
      <w:r>
        <w:t>Sjögren</w:t>
      </w:r>
      <w:proofErr w:type="spellEnd"/>
      <w:r>
        <w:tab/>
      </w:r>
      <w:r>
        <w:tab/>
      </w:r>
      <w:r>
        <w:tab/>
      </w:r>
      <w:r>
        <w:tab/>
        <w:t>oui / non</w:t>
      </w:r>
    </w:p>
    <w:p w14:paraId="14A810E4" w14:textId="77777777" w:rsidR="00873CD8" w:rsidRDefault="00873CD8" w:rsidP="00873CD8">
      <w:pPr>
        <w:spacing w:line="480" w:lineRule="auto"/>
      </w:pPr>
      <w:r>
        <w:t>Myosite inflammatoire</w:t>
      </w:r>
      <w:r>
        <w:tab/>
      </w:r>
      <w:r>
        <w:tab/>
      </w:r>
      <w:r>
        <w:tab/>
      </w:r>
      <w:r>
        <w:tab/>
      </w:r>
      <w:r>
        <w:tab/>
        <w:t>oui / non</w:t>
      </w:r>
    </w:p>
    <w:p w14:paraId="0E9CAC5C" w14:textId="77777777" w:rsidR="00873CD8" w:rsidRDefault="00873CD8" w:rsidP="00873CD8">
      <w:pPr>
        <w:spacing w:line="480" w:lineRule="auto"/>
      </w:pPr>
      <w:r>
        <w:t>Sclérodermie</w:t>
      </w:r>
      <w:r>
        <w:tab/>
      </w:r>
      <w:r>
        <w:tab/>
      </w:r>
      <w:r>
        <w:tab/>
      </w:r>
      <w:r>
        <w:tab/>
      </w:r>
      <w:r>
        <w:tab/>
      </w:r>
      <w:r>
        <w:tab/>
      </w:r>
      <w:r>
        <w:tab/>
        <w:t>oui / non</w:t>
      </w:r>
    </w:p>
    <w:p w14:paraId="2B8CFB5F" w14:textId="77777777" w:rsidR="00873CD8" w:rsidRDefault="00873CD8" w:rsidP="00873CD8">
      <w:pPr>
        <w:spacing w:line="480" w:lineRule="auto"/>
      </w:pPr>
      <w:r>
        <w:t>Connectivite mixte</w:t>
      </w:r>
      <w:r>
        <w:tab/>
      </w:r>
      <w:r>
        <w:tab/>
      </w:r>
      <w:r>
        <w:tab/>
      </w:r>
      <w:r>
        <w:tab/>
      </w:r>
      <w:r>
        <w:tab/>
      </w:r>
      <w:r>
        <w:tab/>
        <w:t>oui / non</w:t>
      </w:r>
    </w:p>
    <w:p w14:paraId="5A943CF5" w14:textId="77777777" w:rsidR="00873CD8" w:rsidRDefault="00873CD8" w:rsidP="00873CD8">
      <w:pPr>
        <w:spacing w:line="480" w:lineRule="auto"/>
      </w:pPr>
      <w:r>
        <w:t xml:space="preserve">Polyarthrite ou myosite </w:t>
      </w:r>
      <w:proofErr w:type="spellStart"/>
      <w:r>
        <w:t>inclassée</w:t>
      </w:r>
      <w:proofErr w:type="spellEnd"/>
      <w:r>
        <w:tab/>
      </w:r>
      <w:r>
        <w:tab/>
      </w:r>
      <w:r>
        <w:tab/>
      </w:r>
      <w:r>
        <w:tab/>
        <w:t>oui / non</w:t>
      </w:r>
    </w:p>
    <w:p w14:paraId="03F36DDB" w14:textId="77777777" w:rsidR="00873CD8" w:rsidRDefault="00873CD8" w:rsidP="00873CD8">
      <w:pPr>
        <w:spacing w:line="480" w:lineRule="auto"/>
      </w:pPr>
    </w:p>
    <w:p w14:paraId="2CCA1EC9" w14:textId="77777777" w:rsidR="00873CD8" w:rsidRDefault="00873CD8" w:rsidP="00873CD8">
      <w:pPr>
        <w:spacing w:line="480" w:lineRule="auto"/>
      </w:pPr>
      <w:r>
        <w:t>Sarcoïdose</w:t>
      </w:r>
      <w:r>
        <w:tab/>
      </w:r>
      <w:r>
        <w:tab/>
      </w:r>
      <w:r>
        <w:tab/>
      </w:r>
      <w:r>
        <w:tab/>
      </w:r>
      <w:r>
        <w:tab/>
      </w:r>
      <w:r>
        <w:tab/>
      </w:r>
      <w:r>
        <w:tab/>
        <w:t>oui / non</w:t>
      </w:r>
    </w:p>
    <w:p w14:paraId="610BCFA5" w14:textId="77777777" w:rsidR="00873CD8" w:rsidRDefault="00873CD8" w:rsidP="00873CD8">
      <w:pPr>
        <w:spacing w:line="480" w:lineRule="auto"/>
      </w:pPr>
    </w:p>
    <w:p w14:paraId="1D29E9D9" w14:textId="77777777" w:rsidR="00873CD8" w:rsidRDefault="00873CD8" w:rsidP="00873CD8">
      <w:pPr>
        <w:spacing w:line="480" w:lineRule="auto"/>
      </w:pPr>
      <w:r>
        <w:t>Vascularite (quel que soit le type)</w:t>
      </w:r>
      <w:r>
        <w:tab/>
      </w:r>
      <w:r>
        <w:tab/>
      </w:r>
      <w:r>
        <w:tab/>
        <w:t>oui / non</w:t>
      </w:r>
    </w:p>
    <w:p w14:paraId="6BFCFBCD" w14:textId="77777777" w:rsidR="00873CD8" w:rsidRDefault="00873CD8" w:rsidP="00873CD8">
      <w:pPr>
        <w:spacing w:line="480" w:lineRule="auto"/>
      </w:pPr>
      <w:r>
        <w:t>SAPL</w:t>
      </w:r>
      <w:r>
        <w:tab/>
      </w:r>
      <w:r>
        <w:tab/>
      </w:r>
      <w:r>
        <w:tab/>
      </w:r>
      <w:r>
        <w:tab/>
      </w:r>
      <w:r>
        <w:tab/>
      </w:r>
      <w:r>
        <w:tab/>
      </w:r>
      <w:r>
        <w:tab/>
      </w:r>
      <w:r>
        <w:tab/>
        <w:t>oui / non</w:t>
      </w:r>
    </w:p>
    <w:p w14:paraId="6354DCBC" w14:textId="77777777" w:rsidR="00873CD8" w:rsidRDefault="00873CD8" w:rsidP="00873CD8">
      <w:pPr>
        <w:spacing w:line="480" w:lineRule="auto"/>
      </w:pPr>
    </w:p>
    <w:p w14:paraId="49A4FC7A" w14:textId="77777777" w:rsidR="00873CD8" w:rsidRDefault="00873CD8" w:rsidP="00873CD8">
      <w:pPr>
        <w:spacing w:line="480" w:lineRule="auto"/>
      </w:pPr>
      <w:r>
        <w:t xml:space="preserve">Pseudo-polyarthrite </w:t>
      </w:r>
      <w:proofErr w:type="spellStart"/>
      <w:r>
        <w:t>rhizomélique</w:t>
      </w:r>
      <w:proofErr w:type="spellEnd"/>
      <w:r>
        <w:tab/>
      </w:r>
      <w:r>
        <w:tab/>
      </w:r>
      <w:r>
        <w:tab/>
      </w:r>
      <w:r>
        <w:tab/>
        <w:t>oui / non</w:t>
      </w:r>
    </w:p>
    <w:p w14:paraId="5976A88A" w14:textId="77777777" w:rsidR="00873CD8" w:rsidRDefault="00873CD8" w:rsidP="00873CD8">
      <w:pPr>
        <w:spacing w:line="480" w:lineRule="auto"/>
      </w:pPr>
      <w:r>
        <w:t>Maladie de Horton</w:t>
      </w:r>
      <w:r>
        <w:tab/>
      </w:r>
      <w:r>
        <w:tab/>
      </w:r>
      <w:r>
        <w:tab/>
      </w:r>
      <w:r>
        <w:tab/>
      </w:r>
      <w:r>
        <w:tab/>
      </w:r>
      <w:r>
        <w:tab/>
        <w:t>oui / non</w:t>
      </w:r>
    </w:p>
    <w:p w14:paraId="382C9644" w14:textId="77777777" w:rsidR="00873CD8" w:rsidRDefault="00873CD8" w:rsidP="00873CD8">
      <w:pPr>
        <w:spacing w:line="480" w:lineRule="auto"/>
      </w:pPr>
    </w:p>
    <w:p w14:paraId="218D8A45" w14:textId="77777777" w:rsidR="00873CD8" w:rsidRDefault="00873CD8" w:rsidP="00873CD8">
      <w:pPr>
        <w:spacing w:line="480" w:lineRule="auto"/>
      </w:pPr>
      <w:r>
        <w:t>Cytopénie auto-immune</w:t>
      </w:r>
      <w:r>
        <w:tab/>
      </w:r>
      <w:r>
        <w:tab/>
      </w:r>
      <w:r>
        <w:tab/>
      </w:r>
      <w:r>
        <w:tab/>
      </w:r>
      <w:r>
        <w:tab/>
        <w:t>oui / non</w:t>
      </w:r>
    </w:p>
    <w:p w14:paraId="4DFE2B31" w14:textId="77777777" w:rsidR="00873CD8" w:rsidRDefault="00873CD8" w:rsidP="00873CD8">
      <w:pPr>
        <w:spacing w:line="480" w:lineRule="auto"/>
      </w:pPr>
    </w:p>
    <w:p w14:paraId="2ACBE47F" w14:textId="77777777" w:rsidR="00873CD8" w:rsidRDefault="00873CD8" w:rsidP="00873CD8">
      <w:pPr>
        <w:spacing w:line="480" w:lineRule="auto"/>
      </w:pPr>
      <w:r>
        <w:t>Autre</w:t>
      </w:r>
      <w:r>
        <w:tab/>
      </w:r>
      <w:r>
        <w:tab/>
      </w:r>
      <w:r>
        <w:tab/>
      </w:r>
      <w:r>
        <w:tab/>
      </w:r>
      <w:r>
        <w:tab/>
      </w:r>
      <w:r>
        <w:tab/>
      </w:r>
      <w:r>
        <w:tab/>
      </w:r>
      <w:r>
        <w:tab/>
        <w:t>……………………………</w:t>
      </w:r>
    </w:p>
    <w:p w14:paraId="3A48A660" w14:textId="77777777" w:rsidR="00293B12" w:rsidRDefault="00293B12" w:rsidP="00873CD8">
      <w:pPr>
        <w:rPr>
          <w:lang w:val="en-GB"/>
        </w:rPr>
      </w:pPr>
    </w:p>
    <w:sectPr w:rsidR="00293B12" w:rsidSect="00C671F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12"/>
    <w:rsid w:val="000E7EE9"/>
    <w:rsid w:val="0012449C"/>
    <w:rsid w:val="001C3FF3"/>
    <w:rsid w:val="00293B12"/>
    <w:rsid w:val="00583636"/>
    <w:rsid w:val="006929CF"/>
    <w:rsid w:val="00705E0D"/>
    <w:rsid w:val="0085198B"/>
    <w:rsid w:val="00862529"/>
    <w:rsid w:val="00873CD8"/>
    <w:rsid w:val="00C671F0"/>
    <w:rsid w:val="00D35EAD"/>
    <w:rsid w:val="00D62223"/>
    <w:rsid w:val="00DF4A2B"/>
    <w:rsid w:val="00F222D4"/>
    <w:rsid w:val="00FA14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E59BF"/>
  <w14:defaultImageDpi w14:val="300"/>
  <w15:docId w15:val="{0E62383A-FBD6-43B9-B72B-DDC32FFA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next w:val="Normal"/>
    <w:link w:val="Titre1Car"/>
    <w:autoRedefine/>
    <w:uiPriority w:val="9"/>
    <w:qFormat/>
    <w:rsid w:val="001C3FF3"/>
    <w:pPr>
      <w:keepNext/>
      <w:keepLines/>
      <w:spacing w:before="480"/>
      <w:outlineLvl w:val="0"/>
    </w:pPr>
    <w:rPr>
      <w:rFonts w:eastAsiaTheme="majorEastAsia" w:cstheme="majorBidi"/>
      <w:b/>
      <w:bCs/>
      <w:color w:val="345A8A" w:themeColor="accent1" w:themeShade="B5"/>
      <w:szCs w:val="32"/>
    </w:rPr>
  </w:style>
  <w:style w:type="paragraph" w:styleId="Titre2">
    <w:name w:val="heading 2"/>
    <w:basedOn w:val="Normal"/>
    <w:next w:val="Normal"/>
    <w:link w:val="Titre2Car"/>
    <w:autoRedefine/>
    <w:uiPriority w:val="9"/>
    <w:unhideWhenUsed/>
    <w:qFormat/>
    <w:rsid w:val="001C3FF3"/>
    <w:pPr>
      <w:keepNext/>
      <w:keepLines/>
      <w:jc w:val="center"/>
      <w:outlineLvl w:val="1"/>
    </w:pPr>
    <w:rPr>
      <w:rFonts w:eastAsiaTheme="majorEastAsia" w:cstheme="majorBidi"/>
      <w:b/>
      <w:bCs/>
      <w:color w:val="000000" w:themeColor="tex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A">
    <w:name w:val="Titre A"/>
    <w:basedOn w:val="Normal"/>
    <w:next w:val="Normal"/>
    <w:autoRedefine/>
    <w:qFormat/>
    <w:rsid w:val="001C3FF3"/>
    <w:pPr>
      <w:jc w:val="center"/>
    </w:pPr>
    <w:rPr>
      <w:b/>
      <w:color w:val="000000" w:themeColor="text1"/>
    </w:rPr>
  </w:style>
  <w:style w:type="paragraph" w:customStyle="1" w:styleId="TitreB">
    <w:name w:val="Titre B"/>
    <w:basedOn w:val="Normal"/>
    <w:autoRedefine/>
    <w:qFormat/>
    <w:rsid w:val="001C3FF3"/>
    <w:pPr>
      <w:jc w:val="center"/>
    </w:pPr>
    <w:rPr>
      <w:sz w:val="56"/>
      <w:szCs w:val="56"/>
    </w:rPr>
  </w:style>
  <w:style w:type="character" w:customStyle="1" w:styleId="Titre1Car">
    <w:name w:val="Titre 1 Car"/>
    <w:basedOn w:val="Policepardfaut"/>
    <w:link w:val="Titre1"/>
    <w:uiPriority w:val="9"/>
    <w:rsid w:val="001C3FF3"/>
    <w:rPr>
      <w:rFonts w:eastAsiaTheme="majorEastAsia" w:cstheme="majorBidi"/>
      <w:b/>
      <w:bCs/>
      <w:color w:val="345A8A" w:themeColor="accent1" w:themeShade="B5"/>
      <w:szCs w:val="32"/>
      <w:lang w:val="fr-FR"/>
    </w:rPr>
  </w:style>
  <w:style w:type="character" w:customStyle="1" w:styleId="Titre2Car">
    <w:name w:val="Titre 2 Car"/>
    <w:basedOn w:val="Policepardfaut"/>
    <w:link w:val="Titre2"/>
    <w:uiPriority w:val="9"/>
    <w:rsid w:val="001C3FF3"/>
    <w:rPr>
      <w:rFonts w:eastAsiaTheme="majorEastAsia" w:cstheme="majorBidi"/>
      <w:b/>
      <w:bCs/>
      <w:color w:val="000000" w:themeColor="text1"/>
      <w:szCs w:val="26"/>
      <w:lang w:val="fr-FR"/>
    </w:rPr>
  </w:style>
  <w:style w:type="paragraph" w:styleId="Textedebulles">
    <w:name w:val="Balloon Text"/>
    <w:basedOn w:val="Normal"/>
    <w:link w:val="TextedebullesCar"/>
    <w:uiPriority w:val="99"/>
    <w:semiHidden/>
    <w:unhideWhenUsed/>
    <w:rsid w:val="001244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2449C"/>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418</Words>
  <Characters>2302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Champiat</dc:creator>
  <cp:keywords/>
  <dc:description/>
  <cp:lastModifiedBy>Lambotte Olivier</cp:lastModifiedBy>
  <cp:revision>4</cp:revision>
  <dcterms:created xsi:type="dcterms:W3CDTF">2015-12-15T22:26:00Z</dcterms:created>
  <dcterms:modified xsi:type="dcterms:W3CDTF">2016-01-01T22:00:00Z</dcterms:modified>
</cp:coreProperties>
</file>